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B5F" w:rsidRDefault="00E01B5F" w:rsidP="00E01B5F">
      <w:pPr>
        <w:spacing w:after="150" w:line="270" w:lineRule="atLeast"/>
        <w:rPr>
          <w:rFonts w:ascii="Arial" w:eastAsia="Times New Roman" w:hAnsi="Arial" w:cs="Arial"/>
          <w:color w:val="C00000"/>
          <w:sz w:val="28"/>
          <w:szCs w:val="28"/>
          <w:lang w:val="ru-RU" w:eastAsia="uk-UA"/>
        </w:rPr>
      </w:pPr>
      <w:r>
        <w:rPr>
          <w:rFonts w:ascii="Arial" w:eastAsia="Times New Roman" w:hAnsi="Arial" w:cs="Arial"/>
          <w:b/>
          <w:i/>
          <w:iCs/>
          <w:color w:val="C00000"/>
          <w:sz w:val="28"/>
          <w:szCs w:val="28"/>
          <w:lang w:eastAsia="uk-UA"/>
        </w:rPr>
        <w:t xml:space="preserve">Двоповерхова цегляна будівля дитячого садочка. </w:t>
      </w:r>
      <w:r w:rsidR="00FD2DC0">
        <w:rPr>
          <w:rFonts w:ascii="Arial" w:eastAsia="Times New Roman" w:hAnsi="Arial" w:cs="Arial"/>
          <w:b/>
          <w:i/>
          <w:iCs/>
          <w:color w:val="C00000"/>
          <w:sz w:val="28"/>
          <w:szCs w:val="28"/>
          <w:lang w:eastAsia="uk-UA"/>
        </w:rPr>
        <w:t>Київ</w:t>
      </w:r>
      <w:r>
        <w:rPr>
          <w:rFonts w:ascii="Arial" w:eastAsia="Times New Roman" w:hAnsi="Arial" w:cs="Arial"/>
          <w:b/>
          <w:i/>
          <w:iCs/>
          <w:color w:val="C00000"/>
          <w:sz w:val="28"/>
          <w:szCs w:val="28"/>
          <w:lang w:eastAsia="uk-UA"/>
        </w:rPr>
        <w:t>ська область, м. Новий Розділ.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2481"/>
      </w:tblGrid>
      <w:tr w:rsidR="00E01B5F" w:rsidTr="00E01B5F">
        <w:trPr>
          <w:tblCellSpacing w:w="15" w:type="dxa"/>
        </w:trPr>
        <w:tc>
          <w:tcPr>
            <w:tcW w:w="53" w:type="dxa"/>
            <w:vAlign w:val="center"/>
            <w:hideMark/>
          </w:tcPr>
          <w:p w:rsidR="00E01B5F" w:rsidRDefault="00E01B5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uk-UA"/>
              </w:rPr>
            </w:pPr>
          </w:p>
        </w:tc>
        <w:tc>
          <w:tcPr>
            <w:tcW w:w="2436" w:type="dxa"/>
            <w:hideMark/>
          </w:tcPr>
          <w:p w:rsidR="00E01B5F" w:rsidRDefault="00FD2DC0">
            <w:pPr>
              <w:rPr>
                <w:sz w:val="24"/>
                <w:szCs w:val="24"/>
              </w:rPr>
            </w:pPr>
            <w:hyperlink r:id="rId6" w:history="1">
              <w:r w:rsidR="00E01B5F">
                <w:rPr>
                  <w:rStyle w:val="a3"/>
                  <w:rFonts w:ascii="Verdana" w:hAnsi="Verdana"/>
                  <w:sz w:val="24"/>
                  <w:szCs w:val="24"/>
                </w:rPr>
                <w:t>magnat-an@ukr.net</w:t>
              </w:r>
            </w:hyperlink>
          </w:p>
        </w:tc>
      </w:tr>
      <w:tr w:rsidR="00E01B5F" w:rsidTr="00E01B5F">
        <w:trPr>
          <w:tblCellSpacing w:w="15" w:type="dxa"/>
        </w:trPr>
        <w:tc>
          <w:tcPr>
            <w:tcW w:w="53" w:type="dxa"/>
            <w:vAlign w:val="center"/>
            <w:hideMark/>
          </w:tcPr>
          <w:p w:rsidR="00E01B5F" w:rsidRDefault="00E01B5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uk-UA"/>
              </w:rPr>
            </w:pPr>
          </w:p>
        </w:tc>
        <w:tc>
          <w:tcPr>
            <w:tcW w:w="2436" w:type="dxa"/>
            <w:hideMark/>
          </w:tcPr>
          <w:p w:rsidR="00E01B5F" w:rsidRDefault="00E01B5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uk-UA"/>
              </w:rPr>
            </w:pPr>
          </w:p>
        </w:tc>
      </w:tr>
      <w:tr w:rsidR="00E01B5F" w:rsidTr="00E01B5F">
        <w:trPr>
          <w:tblCellSpacing w:w="15" w:type="dxa"/>
        </w:trPr>
        <w:tc>
          <w:tcPr>
            <w:tcW w:w="53" w:type="dxa"/>
            <w:vAlign w:val="center"/>
            <w:hideMark/>
          </w:tcPr>
          <w:p w:rsidR="00E01B5F" w:rsidRDefault="00E01B5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uk-UA"/>
              </w:rPr>
            </w:pPr>
          </w:p>
        </w:tc>
        <w:tc>
          <w:tcPr>
            <w:tcW w:w="2436" w:type="dxa"/>
            <w:hideMark/>
          </w:tcPr>
          <w:p w:rsidR="00E01B5F" w:rsidRDefault="00E01B5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uk-UA"/>
              </w:rPr>
            </w:pPr>
          </w:p>
        </w:tc>
      </w:tr>
      <w:tr w:rsidR="00E01B5F" w:rsidTr="00E01B5F">
        <w:trPr>
          <w:tblCellSpacing w:w="15" w:type="dxa"/>
        </w:trPr>
        <w:tc>
          <w:tcPr>
            <w:tcW w:w="53" w:type="dxa"/>
            <w:vAlign w:val="center"/>
            <w:hideMark/>
          </w:tcPr>
          <w:p w:rsidR="00E01B5F" w:rsidRDefault="00E01B5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uk-UA"/>
              </w:rPr>
            </w:pPr>
          </w:p>
        </w:tc>
        <w:tc>
          <w:tcPr>
            <w:tcW w:w="2436" w:type="dxa"/>
            <w:hideMark/>
          </w:tcPr>
          <w:p w:rsidR="00E01B5F" w:rsidRDefault="00E01B5F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uk-UA"/>
              </w:rPr>
            </w:pPr>
          </w:p>
        </w:tc>
      </w:tr>
    </w:tbl>
    <w:p w:rsidR="00E01B5F" w:rsidRPr="006D7DB9" w:rsidRDefault="00E01B5F" w:rsidP="00E01B5F">
      <w:pPr>
        <w:spacing w:after="150" w:line="270" w:lineRule="atLeast"/>
        <w:jc w:val="both"/>
        <w:rPr>
          <w:rFonts w:ascii="Arial" w:eastAsia="Times New Roman" w:hAnsi="Arial" w:cs="Arial"/>
          <w:b/>
          <w:i/>
          <w:iCs/>
          <w:color w:val="333333"/>
          <w:lang w:eastAsia="uk-UA"/>
        </w:rPr>
      </w:pPr>
      <w:r w:rsidRPr="006D7DB9">
        <w:rPr>
          <w:rFonts w:ascii="Arial" w:eastAsia="Times New Roman" w:hAnsi="Arial" w:cs="Arial"/>
          <w:b/>
          <w:i/>
          <w:iCs/>
          <w:color w:val="333333"/>
          <w:lang w:eastAsia="uk-UA"/>
        </w:rPr>
        <w:t>Двоповерхова цегляна будівля дитячого садочка, загальною площею 3 044,7 (три тисячі сорок чотири цілих сім десятих) кв.м., що розташована на земельній ділянці, площею 0,75 га, яка передана балансоутримувачу у користування (кадастровий № 4610800000:004:0023).</w:t>
      </w:r>
    </w:p>
    <w:p w:rsidR="00E01B5F" w:rsidRPr="006D7DB9" w:rsidRDefault="00E01B5F" w:rsidP="00E01B5F">
      <w:pPr>
        <w:spacing w:after="150" w:line="270" w:lineRule="atLeast"/>
        <w:jc w:val="both"/>
        <w:rPr>
          <w:rFonts w:ascii="Arial" w:eastAsia="Times New Roman" w:hAnsi="Arial" w:cs="Arial"/>
          <w:i/>
          <w:iCs/>
          <w:color w:val="333333"/>
          <w:lang w:eastAsia="uk-UA"/>
        </w:rPr>
      </w:pPr>
      <w:r w:rsidRPr="006D7DB9">
        <w:rPr>
          <w:rFonts w:ascii="Arial" w:eastAsia="Times New Roman" w:hAnsi="Arial" w:cs="Arial"/>
          <w:i/>
          <w:iCs/>
          <w:color w:val="333333"/>
          <w:lang w:eastAsia="uk-UA"/>
        </w:rPr>
        <w:t xml:space="preserve">Також на земельній ділянці знаходяться об’єкти нерухомості призначені для обслуговування дитячого садочка, а саме: цегляний гараж, площею 9,0 кв.м.; два навіси по 45,7 кв.м. та навіс 93,9 кв.м. </w:t>
      </w:r>
    </w:p>
    <w:p w:rsidR="00E01B5F" w:rsidRPr="006D7DB9" w:rsidRDefault="00E01B5F" w:rsidP="00E01B5F">
      <w:pPr>
        <w:spacing w:after="150" w:line="270" w:lineRule="atLeast"/>
        <w:jc w:val="both"/>
        <w:rPr>
          <w:rFonts w:ascii="Arial" w:eastAsia="Times New Roman" w:hAnsi="Arial" w:cs="Arial"/>
          <w:i/>
          <w:iCs/>
          <w:color w:val="333333"/>
          <w:lang w:eastAsia="uk-UA"/>
        </w:rPr>
      </w:pPr>
      <w:r w:rsidRPr="006D7DB9">
        <w:rPr>
          <w:rFonts w:ascii="Arial" w:eastAsia="Times New Roman" w:hAnsi="Arial" w:cs="Arial"/>
          <w:i/>
          <w:iCs/>
          <w:color w:val="333333"/>
          <w:lang w:eastAsia="uk-UA"/>
        </w:rPr>
        <w:t xml:space="preserve">Нерухомість  розташована в комерційно привабливому районі міста за адресою: </w:t>
      </w:r>
      <w:r w:rsidR="00FD2DC0">
        <w:rPr>
          <w:rFonts w:ascii="Arial" w:eastAsia="Times New Roman" w:hAnsi="Arial" w:cs="Arial"/>
          <w:i/>
          <w:iCs/>
          <w:color w:val="333333"/>
          <w:lang w:eastAsia="uk-UA"/>
        </w:rPr>
        <w:t>Київ</w:t>
      </w:r>
      <w:bookmarkStart w:id="0" w:name="_GoBack"/>
      <w:bookmarkEnd w:id="0"/>
      <w:r w:rsidRPr="006D7DB9">
        <w:rPr>
          <w:rFonts w:ascii="Arial" w:eastAsia="Times New Roman" w:hAnsi="Arial" w:cs="Arial"/>
          <w:i/>
          <w:iCs/>
          <w:color w:val="333333"/>
          <w:lang w:eastAsia="uk-UA"/>
        </w:rPr>
        <w:t>ська область, м. Новий Розділ, проспект Шевченка, буд.32-Б.</w:t>
      </w:r>
    </w:p>
    <w:p w:rsidR="00E01B5F" w:rsidRDefault="00E01B5F" w:rsidP="00E01B5F">
      <w:pPr>
        <w:spacing w:after="150" w:line="270" w:lineRule="atLeast"/>
        <w:jc w:val="both"/>
        <w:rPr>
          <w:rFonts w:ascii="Arial" w:eastAsia="Times New Roman" w:hAnsi="Arial" w:cs="Arial"/>
          <w:i/>
          <w:iCs/>
          <w:color w:val="333333"/>
          <w:lang w:eastAsia="uk-UA"/>
        </w:rPr>
      </w:pPr>
      <w:r w:rsidRPr="006D7DB9">
        <w:rPr>
          <w:rFonts w:ascii="Arial" w:eastAsia="Times New Roman" w:hAnsi="Arial" w:cs="Arial"/>
          <w:i/>
          <w:iCs/>
          <w:color w:val="333333"/>
          <w:lang w:eastAsia="uk-UA"/>
        </w:rPr>
        <w:t>На даний час дитяча установа за призначенням не використовується та  знаходиться на зберіганні. Технічний стан будівлі задовільний. Об’єкт знаходиться під цілодобовою відомчою охороною.</w:t>
      </w:r>
    </w:p>
    <w:p w:rsidR="006D7DB9" w:rsidRDefault="006D7DB9" w:rsidP="00E01B5F">
      <w:pPr>
        <w:spacing w:after="150" w:line="270" w:lineRule="atLeast"/>
        <w:jc w:val="both"/>
        <w:rPr>
          <w:rFonts w:ascii="Arial" w:eastAsia="Times New Roman" w:hAnsi="Arial" w:cs="Arial"/>
          <w:i/>
          <w:iCs/>
          <w:color w:val="333333"/>
          <w:lang w:eastAsia="uk-UA"/>
        </w:rPr>
      </w:pPr>
    </w:p>
    <w:p w:rsidR="00E01B5F" w:rsidRDefault="00E01B5F" w:rsidP="00E01B5F">
      <w:pPr>
        <w:spacing w:after="150" w:line="270" w:lineRule="atLeast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en-US"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1495425" cy="1123950"/>
            <wp:effectExtent l="19050" t="0" r="9525" b="0"/>
            <wp:docPr id="1" name="Рисунок 11" descr="DSC01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DSC0107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i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1495425" cy="1123950"/>
            <wp:effectExtent l="19050" t="0" r="9525" b="0"/>
            <wp:docPr id="2" name="Рисунок 12" descr="DSC01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DSC0107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i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1524000" cy="1143000"/>
            <wp:effectExtent l="19050" t="0" r="0" b="0"/>
            <wp:docPr id="3" name="Рисунок 13" descr="DSC01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DSC0107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i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1514475" cy="1133475"/>
            <wp:effectExtent l="19050" t="0" r="9525" b="0"/>
            <wp:docPr id="4" name="Рисунок 14" descr="DSC01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DSC0107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i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1495425" cy="1123950"/>
            <wp:effectExtent l="19050" t="0" r="9525" b="0"/>
            <wp:docPr id="5" name="Рисунок 15" descr="DSC01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DSC0107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i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1524000" cy="1143000"/>
            <wp:effectExtent l="19050" t="0" r="0" b="0"/>
            <wp:docPr id="6" name="Рисунок 16" descr="DSC0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DSC0108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i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1514475" cy="1133475"/>
            <wp:effectExtent l="19050" t="0" r="9525" b="0"/>
            <wp:docPr id="7" name="Рисунок 17" descr="DSC01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DSC0108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i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1476375" cy="1104900"/>
            <wp:effectExtent l="19050" t="0" r="9525" b="0"/>
            <wp:docPr id="8" name="Рисунок 18" descr="DSC01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DSC0108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i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1543050" cy="1162050"/>
            <wp:effectExtent l="19050" t="0" r="0" b="0"/>
            <wp:docPr id="9" name="Рисунок 19" descr="DSC01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DSC0108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i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1524000" cy="1143000"/>
            <wp:effectExtent l="19050" t="0" r="0" b="0"/>
            <wp:docPr id="10" name="Рисунок 20" descr="DSC01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DSC0109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i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1543050" cy="1152525"/>
            <wp:effectExtent l="19050" t="0" r="0" b="0"/>
            <wp:docPr id="11" name="Рисунок 21" descr="DSC01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DSC0109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DB9" w:rsidRPr="006D7DB9" w:rsidRDefault="006D7DB9" w:rsidP="00E01B5F">
      <w:pPr>
        <w:spacing w:after="150" w:line="270" w:lineRule="atLeast"/>
        <w:rPr>
          <w:rFonts w:ascii="Arial" w:eastAsia="Times New Roman" w:hAnsi="Arial" w:cs="Arial"/>
          <w:b/>
          <w:color w:val="0070C0"/>
          <w:sz w:val="16"/>
          <w:szCs w:val="16"/>
          <w:lang w:eastAsia="uk-UA"/>
        </w:rPr>
      </w:pPr>
      <w:r w:rsidRPr="006D7DB9">
        <w:rPr>
          <w:rFonts w:ascii="Arial" w:eastAsia="Times New Roman" w:hAnsi="Arial" w:cs="Arial"/>
          <w:b/>
          <w:color w:val="0070C0"/>
          <w:sz w:val="16"/>
          <w:szCs w:val="16"/>
          <w:lang w:eastAsia="uk-UA"/>
        </w:rPr>
        <w:t>Ціна договірна.</w:t>
      </w:r>
    </w:p>
    <w:p w:rsidR="00E01B5F" w:rsidRDefault="00E01B5F" w:rsidP="00E01B5F">
      <w:pPr>
        <w:spacing w:after="150" w:line="270" w:lineRule="atLeast"/>
        <w:rPr>
          <w:rFonts w:ascii="Arial" w:eastAsia="Times New Roman" w:hAnsi="Arial" w:cs="Arial"/>
          <w:b/>
          <w:color w:val="C00000"/>
          <w:sz w:val="16"/>
          <w:szCs w:val="16"/>
          <w:lang w:eastAsia="uk-UA"/>
        </w:rPr>
      </w:pPr>
      <w:r>
        <w:rPr>
          <w:rFonts w:ascii="Arial" w:eastAsia="Times New Roman" w:hAnsi="Arial" w:cs="Arial"/>
          <w:b/>
          <w:color w:val="C00000"/>
          <w:sz w:val="16"/>
          <w:szCs w:val="16"/>
          <w:lang w:eastAsia="uk-UA"/>
        </w:rPr>
        <w:t>Контактні особи:</w:t>
      </w:r>
      <w:r w:rsidR="006D7DB9" w:rsidRPr="006D7DB9">
        <w:rPr>
          <w:rFonts w:ascii="Arial" w:eastAsia="Times New Roman" w:hAnsi="Arial" w:cs="Arial"/>
          <w:b/>
          <w:color w:val="C00000"/>
          <w:sz w:val="16"/>
          <w:szCs w:val="16"/>
          <w:lang w:val="ru-RU" w:eastAsia="uk-UA"/>
        </w:rPr>
        <w:t xml:space="preserve"> </w:t>
      </w:r>
      <w:r>
        <w:rPr>
          <w:rFonts w:ascii="Arial" w:eastAsia="Times New Roman" w:hAnsi="Arial" w:cs="Arial"/>
          <w:b/>
          <w:color w:val="C00000"/>
          <w:sz w:val="16"/>
          <w:szCs w:val="16"/>
          <w:lang w:eastAsia="uk-UA"/>
        </w:rPr>
        <w:t>Богдан Семенович, тел. (032) 23 23 764, Олег Романович, тел: (032) 23 23 709</w:t>
      </w:r>
    </w:p>
    <w:p w:rsidR="00E01B5F" w:rsidRDefault="00E01B5F" w:rsidP="00E01B5F">
      <w:pPr>
        <w:spacing w:after="150" w:line="270" w:lineRule="atLeast"/>
        <w:rPr>
          <w:rFonts w:ascii="Arial" w:eastAsia="Times New Roman" w:hAnsi="Arial" w:cs="Arial"/>
          <w:b/>
          <w:i/>
          <w:color w:val="C00000"/>
          <w:sz w:val="28"/>
          <w:szCs w:val="28"/>
          <w:lang w:val="ru-RU" w:eastAsia="uk-UA"/>
        </w:rPr>
      </w:pPr>
      <w:r>
        <w:rPr>
          <w:rFonts w:ascii="Arial" w:eastAsia="Times New Roman" w:hAnsi="Arial" w:cs="Arial"/>
          <w:b/>
          <w:i/>
          <w:color w:val="333333"/>
          <w:sz w:val="24"/>
          <w:szCs w:val="24"/>
          <w:lang w:eastAsia="uk-UA"/>
        </w:rPr>
        <w:t xml:space="preserve"> </w:t>
      </w:r>
    </w:p>
    <w:p w:rsidR="000531D8" w:rsidRDefault="000531D8"/>
    <w:sectPr w:rsidR="000531D8" w:rsidSect="000531D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DC0" w:rsidRDefault="00FD2DC0" w:rsidP="00FD2DC0">
      <w:pPr>
        <w:spacing w:after="0" w:line="240" w:lineRule="auto"/>
      </w:pPr>
      <w:r>
        <w:separator/>
      </w:r>
    </w:p>
  </w:endnote>
  <w:endnote w:type="continuationSeparator" w:id="0">
    <w:p w:rsidR="00FD2DC0" w:rsidRDefault="00FD2DC0" w:rsidP="00FD2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C0" w:rsidRDefault="00FD2DC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C0" w:rsidRDefault="00FD2DC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C0" w:rsidRDefault="00FD2DC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DC0" w:rsidRDefault="00FD2DC0" w:rsidP="00FD2DC0">
      <w:pPr>
        <w:spacing w:after="0" w:line="240" w:lineRule="auto"/>
      </w:pPr>
      <w:r>
        <w:separator/>
      </w:r>
    </w:p>
  </w:footnote>
  <w:footnote w:type="continuationSeparator" w:id="0">
    <w:p w:rsidR="00FD2DC0" w:rsidRDefault="00FD2DC0" w:rsidP="00FD2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C0" w:rsidRDefault="00FD2D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C0" w:rsidRDefault="00FD2DC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DC0" w:rsidRDefault="00FD2D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B5F"/>
    <w:rsid w:val="000531D8"/>
    <w:rsid w:val="006D7DB9"/>
    <w:rsid w:val="00870D07"/>
    <w:rsid w:val="00E01B5F"/>
    <w:rsid w:val="00FD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0B801A8-F405-49A0-A990-F58F2907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1B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1B5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B5F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D2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2DC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D2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2D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magnat-an@ukr.net" TargetMode="Externa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footer" Target="footer3.xml"/><Relationship Id="rId10" Type="http://schemas.openxmlformats.org/officeDocument/2006/relationships/image" Target="media/image4.jpe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vorobets</dc:creator>
  <cp:keywords/>
  <dc:description/>
  <cp:lastModifiedBy>JASON</cp:lastModifiedBy>
  <cp:revision>5</cp:revision>
  <dcterms:created xsi:type="dcterms:W3CDTF">2015-06-04T11:32:00Z</dcterms:created>
  <dcterms:modified xsi:type="dcterms:W3CDTF">2017-11-14T09:31:00Z</dcterms:modified>
</cp:coreProperties>
</file>